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F45E3" w14:textId="77777777" w:rsidR="003A367B" w:rsidRPr="0011731F" w:rsidRDefault="003A367B" w:rsidP="003A367B">
      <w:pPr>
        <w:jc w:val="center"/>
        <w:rPr>
          <w:rFonts w:ascii="Arial" w:hAnsi="Arial" w:cs="Arial"/>
          <w:b/>
          <w:sz w:val="28"/>
          <w:szCs w:val="28"/>
        </w:rPr>
      </w:pPr>
      <w:r w:rsidRPr="0011731F">
        <w:rPr>
          <w:rFonts w:ascii="Arial" w:hAnsi="Arial" w:cs="Arial"/>
          <w:b/>
          <w:sz w:val="28"/>
          <w:szCs w:val="28"/>
        </w:rPr>
        <w:t>Technická správa</w:t>
      </w:r>
    </w:p>
    <w:p w14:paraId="10C91E23" w14:textId="77777777" w:rsidR="003A367B" w:rsidRPr="0011731F" w:rsidRDefault="003A367B" w:rsidP="003A367B">
      <w:pPr>
        <w:jc w:val="both"/>
        <w:rPr>
          <w:rFonts w:ascii="Arial" w:hAnsi="Arial" w:cs="Arial"/>
          <w:b/>
          <w:sz w:val="24"/>
          <w:szCs w:val="24"/>
        </w:rPr>
      </w:pPr>
      <w:r w:rsidRPr="0011731F">
        <w:rPr>
          <w:rFonts w:ascii="Arial" w:hAnsi="Arial" w:cs="Arial"/>
          <w:b/>
          <w:sz w:val="24"/>
          <w:szCs w:val="24"/>
        </w:rPr>
        <w:t>Všeobecne</w:t>
      </w:r>
    </w:p>
    <w:p w14:paraId="0E95E42F" w14:textId="7C816D77" w:rsidR="003A367B" w:rsidRPr="0011731F" w:rsidRDefault="003A367B" w:rsidP="003A367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 xml:space="preserve">Predmetom tejto projektovej dokumentácie </w:t>
      </w:r>
      <w:r w:rsidR="00270759">
        <w:rPr>
          <w:rFonts w:ascii="Arial" w:hAnsi="Arial" w:cs="Arial"/>
          <w:sz w:val="20"/>
          <w:szCs w:val="20"/>
        </w:rPr>
        <w:t>sú areálové</w:t>
      </w:r>
      <w:r w:rsidR="0011731F" w:rsidRPr="0011731F">
        <w:rPr>
          <w:rFonts w:ascii="Arial" w:hAnsi="Arial" w:cs="Arial"/>
          <w:sz w:val="20"/>
          <w:szCs w:val="20"/>
        </w:rPr>
        <w:t xml:space="preserve"> NN </w:t>
      </w:r>
      <w:r w:rsidR="00270759">
        <w:rPr>
          <w:rFonts w:ascii="Arial" w:hAnsi="Arial" w:cs="Arial"/>
          <w:sz w:val="20"/>
          <w:szCs w:val="20"/>
        </w:rPr>
        <w:t xml:space="preserve">rozvody </w:t>
      </w:r>
      <w:r w:rsidR="00C97253">
        <w:rPr>
          <w:rFonts w:ascii="Arial" w:hAnsi="Arial" w:cs="Arial"/>
          <w:sz w:val="20"/>
          <w:szCs w:val="20"/>
        </w:rPr>
        <w:t xml:space="preserve">pre navrhovaný </w:t>
      </w:r>
      <w:r w:rsidR="0011731F" w:rsidRPr="0011731F">
        <w:rPr>
          <w:rFonts w:ascii="Arial" w:hAnsi="Arial" w:cs="Arial"/>
          <w:sz w:val="20"/>
          <w:szCs w:val="20"/>
        </w:rPr>
        <w:t>Bytový dom Terchovsk</w:t>
      </w:r>
      <w:r w:rsidR="00C97253">
        <w:rPr>
          <w:rFonts w:ascii="Arial" w:hAnsi="Arial" w:cs="Arial"/>
          <w:sz w:val="20"/>
          <w:szCs w:val="20"/>
        </w:rPr>
        <w:t>á</w:t>
      </w:r>
      <w:r w:rsidRPr="0011731F">
        <w:rPr>
          <w:rFonts w:ascii="Arial" w:hAnsi="Arial" w:cs="Arial"/>
          <w:sz w:val="20"/>
          <w:szCs w:val="20"/>
        </w:rPr>
        <w:t>.</w:t>
      </w:r>
      <w:r w:rsidR="00C97253">
        <w:rPr>
          <w:rFonts w:ascii="Arial" w:hAnsi="Arial" w:cs="Arial"/>
          <w:sz w:val="20"/>
          <w:szCs w:val="20"/>
        </w:rPr>
        <w:t xml:space="preserve"> </w:t>
      </w:r>
      <w:r w:rsidRPr="0011731F">
        <w:rPr>
          <w:rFonts w:ascii="Arial" w:hAnsi="Arial" w:cs="Arial"/>
          <w:sz w:val="20"/>
          <w:szCs w:val="20"/>
        </w:rPr>
        <w:t xml:space="preserve">Projekt je vypracovaný v rozsahu dokumentácia pre </w:t>
      </w:r>
      <w:r w:rsidR="00FF3761" w:rsidRPr="0011731F">
        <w:rPr>
          <w:rFonts w:ascii="Arial" w:hAnsi="Arial" w:cs="Arial"/>
          <w:sz w:val="20"/>
          <w:szCs w:val="20"/>
        </w:rPr>
        <w:t>stavebné povolenie</w:t>
      </w:r>
      <w:r w:rsidRPr="0011731F">
        <w:rPr>
          <w:rFonts w:ascii="Arial" w:hAnsi="Arial" w:cs="Arial"/>
          <w:sz w:val="20"/>
          <w:szCs w:val="20"/>
        </w:rPr>
        <w:t>.</w:t>
      </w:r>
    </w:p>
    <w:p w14:paraId="275F8CC8" w14:textId="77777777" w:rsidR="003A367B" w:rsidRPr="0011731F" w:rsidRDefault="003A367B" w:rsidP="003A367B">
      <w:pPr>
        <w:spacing w:after="0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17A8A6DB" w14:textId="61A8E8AE" w:rsidR="003A367B" w:rsidRPr="0011731F" w:rsidRDefault="003A367B" w:rsidP="003A36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Názov stavby:</w:t>
      </w:r>
      <w:r w:rsidRPr="0011731F">
        <w:rPr>
          <w:rFonts w:ascii="Arial" w:hAnsi="Arial" w:cs="Arial"/>
          <w:sz w:val="20"/>
          <w:szCs w:val="20"/>
        </w:rPr>
        <w:tab/>
      </w:r>
      <w:r w:rsidR="0011731F" w:rsidRPr="0011731F">
        <w:rPr>
          <w:rFonts w:ascii="Arial" w:hAnsi="Arial" w:cs="Arial"/>
          <w:sz w:val="20"/>
          <w:szCs w:val="20"/>
        </w:rPr>
        <w:t>Bytový dom Terchovská</w:t>
      </w:r>
      <w:r w:rsidR="00D379FB">
        <w:rPr>
          <w:rFonts w:ascii="Arial" w:hAnsi="Arial" w:cs="Arial"/>
          <w:sz w:val="20"/>
          <w:szCs w:val="20"/>
        </w:rPr>
        <w:t xml:space="preserve"> a dotknuté územie</w:t>
      </w:r>
    </w:p>
    <w:p w14:paraId="3C15DD00" w14:textId="3E365B9E" w:rsidR="003A367B" w:rsidRPr="0011731F" w:rsidRDefault="003A367B" w:rsidP="003A367B">
      <w:pPr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ab/>
      </w:r>
      <w:r w:rsidRPr="0011731F">
        <w:rPr>
          <w:rFonts w:ascii="Arial" w:hAnsi="Arial" w:cs="Arial"/>
          <w:sz w:val="20"/>
          <w:szCs w:val="20"/>
        </w:rPr>
        <w:tab/>
      </w:r>
      <w:r w:rsidR="0011731F" w:rsidRPr="0011731F">
        <w:rPr>
          <w:rFonts w:ascii="Arial" w:hAnsi="Arial" w:cs="Arial"/>
          <w:sz w:val="20"/>
          <w:szCs w:val="20"/>
        </w:rPr>
        <w:t xml:space="preserve">SO </w:t>
      </w:r>
      <w:r w:rsidR="00FB3235">
        <w:rPr>
          <w:rFonts w:ascii="Arial" w:hAnsi="Arial" w:cs="Arial"/>
          <w:sz w:val="20"/>
          <w:szCs w:val="20"/>
        </w:rPr>
        <w:t>4</w:t>
      </w:r>
      <w:r w:rsidR="0011731F" w:rsidRPr="0011731F">
        <w:rPr>
          <w:rFonts w:ascii="Arial" w:hAnsi="Arial" w:cs="Arial"/>
          <w:sz w:val="20"/>
          <w:szCs w:val="20"/>
        </w:rPr>
        <w:t>0</w:t>
      </w:r>
      <w:r w:rsidR="00FB3235">
        <w:rPr>
          <w:rFonts w:ascii="Arial" w:hAnsi="Arial" w:cs="Arial"/>
          <w:sz w:val="20"/>
          <w:szCs w:val="20"/>
        </w:rPr>
        <w:t>5</w:t>
      </w:r>
      <w:r w:rsidR="0011731F" w:rsidRPr="0011731F">
        <w:rPr>
          <w:rFonts w:ascii="Arial" w:hAnsi="Arial" w:cs="Arial"/>
          <w:sz w:val="20"/>
          <w:szCs w:val="20"/>
        </w:rPr>
        <w:t xml:space="preserve"> </w:t>
      </w:r>
      <w:r w:rsidR="00FB3235">
        <w:rPr>
          <w:rFonts w:ascii="Arial" w:hAnsi="Arial" w:cs="Arial"/>
          <w:sz w:val="20"/>
          <w:szCs w:val="20"/>
        </w:rPr>
        <w:t>Areálové rozvody nízkeho napätia</w:t>
      </w:r>
    </w:p>
    <w:p w14:paraId="2DCC20BE" w14:textId="2C91EFF0" w:rsidR="003A367B" w:rsidRDefault="003A367B" w:rsidP="0011731F">
      <w:pPr>
        <w:ind w:left="1410" w:hanging="1410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Miesto stavby:</w:t>
      </w:r>
      <w:r w:rsidRPr="0011731F">
        <w:rPr>
          <w:rFonts w:ascii="Arial" w:hAnsi="Arial" w:cs="Arial"/>
          <w:sz w:val="20"/>
          <w:szCs w:val="20"/>
        </w:rPr>
        <w:tab/>
      </w:r>
      <w:bookmarkStart w:id="0" w:name="_Hlk127261288"/>
      <w:r w:rsidR="0011731F" w:rsidRPr="0011731F">
        <w:rPr>
          <w:rFonts w:ascii="Arial" w:hAnsi="Arial" w:cs="Arial"/>
          <w:sz w:val="20"/>
          <w:szCs w:val="20"/>
        </w:rPr>
        <w:t>Okres Bratislava II., Obec: BA-m.č. Ružinov, k.ú. Trnávka, pozemky na parcelách registra „C“ p.č. 17007/47, p.č. 17007/46 , p.č. 17014/2, p.č. 17016/1, p.č. 14472/1, p.č. 14472/53, p.č. 22247/9</w:t>
      </w:r>
      <w:bookmarkEnd w:id="0"/>
    </w:p>
    <w:p w14:paraId="0B10E767" w14:textId="78CE4745" w:rsidR="003A367B" w:rsidRPr="0011731F" w:rsidRDefault="003A367B" w:rsidP="003A36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Investor:</w:t>
      </w:r>
      <w:r w:rsidRPr="0011731F">
        <w:rPr>
          <w:rFonts w:ascii="Arial" w:hAnsi="Arial" w:cs="Arial"/>
          <w:sz w:val="20"/>
          <w:szCs w:val="20"/>
        </w:rPr>
        <w:tab/>
      </w:r>
      <w:r w:rsidR="0011731F" w:rsidRPr="0011731F">
        <w:rPr>
          <w:rFonts w:ascii="Arial" w:hAnsi="Arial" w:cs="Arial"/>
          <w:sz w:val="20"/>
          <w:szCs w:val="20"/>
        </w:rPr>
        <w:t>Hlavné mesto Slovenskej republiky</w:t>
      </w:r>
    </w:p>
    <w:p w14:paraId="228A0DBF" w14:textId="13BA1A30" w:rsidR="003A367B" w:rsidRPr="0011731F" w:rsidRDefault="003A367B" w:rsidP="003A36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ab/>
      </w:r>
      <w:r w:rsidRPr="0011731F">
        <w:rPr>
          <w:rFonts w:ascii="Arial" w:hAnsi="Arial" w:cs="Arial"/>
          <w:sz w:val="20"/>
          <w:szCs w:val="20"/>
        </w:rPr>
        <w:tab/>
      </w:r>
      <w:r w:rsidR="0011731F" w:rsidRPr="0011731F">
        <w:rPr>
          <w:rFonts w:ascii="Arial" w:hAnsi="Arial" w:cs="Arial"/>
          <w:sz w:val="20"/>
          <w:szCs w:val="20"/>
        </w:rPr>
        <w:t>Primaciálne nám. 1</w:t>
      </w:r>
    </w:p>
    <w:p w14:paraId="253E1C20" w14:textId="221B1A3A" w:rsidR="003A367B" w:rsidRPr="0011731F" w:rsidRDefault="003A367B" w:rsidP="003A367B">
      <w:pPr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ab/>
      </w:r>
      <w:r w:rsidRPr="0011731F">
        <w:rPr>
          <w:rFonts w:ascii="Arial" w:hAnsi="Arial" w:cs="Arial"/>
          <w:sz w:val="20"/>
          <w:szCs w:val="20"/>
        </w:rPr>
        <w:tab/>
        <w:t>81</w:t>
      </w:r>
      <w:r w:rsidR="0011731F" w:rsidRPr="0011731F">
        <w:rPr>
          <w:rFonts w:ascii="Arial" w:hAnsi="Arial" w:cs="Arial"/>
          <w:sz w:val="20"/>
          <w:szCs w:val="20"/>
        </w:rPr>
        <w:t>1 99</w:t>
      </w:r>
      <w:r w:rsidRPr="0011731F">
        <w:rPr>
          <w:rFonts w:ascii="Arial" w:hAnsi="Arial" w:cs="Arial"/>
          <w:sz w:val="20"/>
          <w:szCs w:val="20"/>
        </w:rPr>
        <w:t xml:space="preserve"> Bratislava</w:t>
      </w:r>
    </w:p>
    <w:p w14:paraId="5AC9B2E4" w14:textId="19AF4D14" w:rsidR="003A367B" w:rsidRDefault="003A367B" w:rsidP="003A367B">
      <w:pPr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Stupeň PD:</w:t>
      </w:r>
      <w:r w:rsidRPr="0011731F">
        <w:rPr>
          <w:rFonts w:ascii="Arial" w:hAnsi="Arial" w:cs="Arial"/>
          <w:sz w:val="20"/>
          <w:szCs w:val="20"/>
        </w:rPr>
        <w:tab/>
        <w:t>Dokumentácia pre stavebné povolenie</w:t>
      </w:r>
    </w:p>
    <w:p w14:paraId="06E0C8AC" w14:textId="77777777" w:rsidR="003A367B" w:rsidRPr="0011731F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11731F">
        <w:rPr>
          <w:rFonts w:ascii="Arial" w:hAnsi="Arial" w:cs="Arial"/>
          <w:b/>
          <w:sz w:val="20"/>
          <w:szCs w:val="20"/>
        </w:rPr>
        <w:t>Projektové podklady</w:t>
      </w:r>
    </w:p>
    <w:p w14:paraId="787F1AEA" w14:textId="77777777" w:rsidR="003A367B" w:rsidRPr="0011731F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Architektonicko-stavebné výkresy</w:t>
      </w:r>
    </w:p>
    <w:p w14:paraId="3F387832" w14:textId="77777777" w:rsidR="003A367B" w:rsidRPr="0011731F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Technické podmienky použitých prístrojov a elektrických výrobkov</w:t>
      </w:r>
    </w:p>
    <w:p w14:paraId="7467F34C" w14:textId="5108BEFB" w:rsidR="003A367B" w:rsidRPr="0011731F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Požiadavky ZSDIS a.s.</w:t>
      </w:r>
    </w:p>
    <w:p w14:paraId="57938A82" w14:textId="43CAA59F" w:rsidR="0011731F" w:rsidRDefault="0011731F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Vyjadrenia z</w:t>
      </w:r>
      <w:r w:rsidR="00350684">
        <w:rPr>
          <w:rFonts w:ascii="Arial" w:hAnsi="Arial" w:cs="Arial"/>
          <w:sz w:val="20"/>
          <w:szCs w:val="20"/>
        </w:rPr>
        <w:t> </w:t>
      </w:r>
      <w:r w:rsidRPr="0011731F">
        <w:rPr>
          <w:rFonts w:ascii="Arial" w:hAnsi="Arial" w:cs="Arial"/>
          <w:sz w:val="20"/>
          <w:szCs w:val="20"/>
        </w:rPr>
        <w:t>DUR</w:t>
      </w:r>
    </w:p>
    <w:p w14:paraId="12EACAE0" w14:textId="1D2C3977" w:rsidR="00350684" w:rsidRPr="0011731F" w:rsidRDefault="00350684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Energetická bilancia objektu</w:t>
      </w:r>
    </w:p>
    <w:p w14:paraId="52EDA258" w14:textId="77777777" w:rsidR="003A367B" w:rsidRPr="0011731F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11731F">
        <w:rPr>
          <w:rFonts w:ascii="Arial" w:hAnsi="Arial" w:cs="Arial"/>
          <w:b/>
          <w:sz w:val="20"/>
          <w:szCs w:val="20"/>
        </w:rPr>
        <w:t>Predmetom projektu je</w:t>
      </w:r>
    </w:p>
    <w:p w14:paraId="76FD0C49" w14:textId="77777777" w:rsidR="00FB3235" w:rsidRPr="00FB3235" w:rsidRDefault="00FB3235" w:rsidP="00FB3235">
      <w:pPr>
        <w:pStyle w:val="Odsekzoznamu"/>
        <w:numPr>
          <w:ilvl w:val="0"/>
          <w:numId w:val="12"/>
        </w:numPr>
        <w:jc w:val="both"/>
        <w:rPr>
          <w:rFonts w:ascii="Arial" w:hAnsi="Arial" w:cs="Arial"/>
          <w:b/>
          <w:sz w:val="24"/>
          <w:szCs w:val="24"/>
        </w:rPr>
      </w:pPr>
      <w:r w:rsidRPr="00FB3235">
        <w:rPr>
          <w:rFonts w:ascii="Arial" w:hAnsi="Arial" w:cs="Arial"/>
          <w:sz w:val="20"/>
          <w:szCs w:val="20"/>
        </w:rPr>
        <w:t>SO 405 Areálové rozvody nízkeho napätia</w:t>
      </w:r>
      <w:r w:rsidRPr="00FB3235">
        <w:rPr>
          <w:rFonts w:ascii="Arial" w:hAnsi="Arial" w:cs="Arial"/>
          <w:b/>
          <w:sz w:val="24"/>
          <w:szCs w:val="24"/>
        </w:rPr>
        <w:t xml:space="preserve"> </w:t>
      </w:r>
    </w:p>
    <w:p w14:paraId="3DAC3C49" w14:textId="3C1E71B5" w:rsidR="003A367B" w:rsidRPr="00271601" w:rsidRDefault="003A367B" w:rsidP="003A36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271601">
        <w:rPr>
          <w:rFonts w:ascii="Arial" w:hAnsi="Arial" w:cs="Arial"/>
          <w:b/>
          <w:sz w:val="24"/>
          <w:szCs w:val="24"/>
        </w:rPr>
        <w:t>Základné údaje</w:t>
      </w:r>
    </w:p>
    <w:p w14:paraId="13917E89" w14:textId="77777777" w:rsidR="003A367B" w:rsidRPr="00271601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71601">
        <w:rPr>
          <w:rFonts w:ascii="Arial" w:hAnsi="Arial" w:cs="Arial"/>
          <w:b/>
          <w:sz w:val="20"/>
          <w:szCs w:val="20"/>
        </w:rPr>
        <w:t>Predpisy a normy</w:t>
      </w:r>
    </w:p>
    <w:p w14:paraId="4FB00DAF" w14:textId="77777777" w:rsidR="003A367B" w:rsidRPr="00271601" w:rsidRDefault="003A367B" w:rsidP="003A367B">
      <w:pPr>
        <w:jc w:val="both"/>
        <w:rPr>
          <w:rFonts w:ascii="Arial" w:hAnsi="Arial" w:cs="Arial"/>
          <w:sz w:val="20"/>
          <w:szCs w:val="20"/>
        </w:rPr>
      </w:pPr>
      <w:r w:rsidRPr="00271601">
        <w:rPr>
          <w:rFonts w:ascii="Arial" w:hAnsi="Arial" w:cs="Arial"/>
          <w:sz w:val="20"/>
          <w:szCs w:val="20"/>
        </w:rPr>
        <w:t>Projektová dokumentácia je spracovaná v súlade s platnými slovenskými zákonmi, vyhláškami a normami.</w:t>
      </w:r>
    </w:p>
    <w:p w14:paraId="3009CA17" w14:textId="77777777" w:rsidR="003A367B" w:rsidRPr="00271601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71601">
        <w:rPr>
          <w:rFonts w:ascii="Arial" w:hAnsi="Arial" w:cs="Arial"/>
          <w:b/>
          <w:sz w:val="20"/>
          <w:szCs w:val="20"/>
        </w:rPr>
        <w:t>Stupeň zabezpečenia dodávky el. energie v zmysle STN 34 1610 § 16 107</w:t>
      </w:r>
    </w:p>
    <w:p w14:paraId="029AB431" w14:textId="77777777" w:rsidR="003A367B" w:rsidRPr="00271601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71601">
        <w:rPr>
          <w:rFonts w:ascii="Arial" w:hAnsi="Arial" w:cs="Arial"/>
          <w:sz w:val="20"/>
          <w:szCs w:val="20"/>
        </w:rPr>
        <w:t xml:space="preserve">Tretí </w:t>
      </w:r>
    </w:p>
    <w:p w14:paraId="03FF7B7E" w14:textId="77777777" w:rsidR="003A367B" w:rsidRPr="00F64D80" w:rsidRDefault="003A367B" w:rsidP="003A367B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F64D80">
        <w:rPr>
          <w:rFonts w:ascii="Arial" w:eastAsia="Calibri" w:hAnsi="Arial" w:cs="Arial"/>
          <w:b/>
          <w:sz w:val="20"/>
          <w:szCs w:val="20"/>
        </w:rPr>
        <w:t>Skupina elektrických zariadení podľa Vyhlášky MPSVaR Slovenskej republiky č. 398/2013, ktorou sa mení a dopĺňa vyhláška MPSVaR Slovenskej republiky č. 508/2009 Zb.z. § 2, odst.1., resp. prílohy 1, časť III</w:t>
      </w:r>
    </w:p>
    <w:p w14:paraId="7B315362" w14:textId="77777777" w:rsidR="003A367B" w:rsidRPr="00F64D80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Skupina „B“</w:t>
      </w:r>
    </w:p>
    <w:p w14:paraId="2E58D9CB" w14:textId="77777777" w:rsidR="003A367B" w:rsidRPr="00F64D80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F64D80">
        <w:rPr>
          <w:rFonts w:ascii="Arial" w:hAnsi="Arial" w:cs="Arial"/>
          <w:b/>
          <w:sz w:val="20"/>
          <w:szCs w:val="20"/>
        </w:rPr>
        <w:t xml:space="preserve">Rozvodná sústava </w:t>
      </w:r>
    </w:p>
    <w:p w14:paraId="21A80D66" w14:textId="77777777" w:rsidR="003A367B" w:rsidRPr="00F64D80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3+PE AC 50 Hz 230/400V TN-C</w:t>
      </w:r>
    </w:p>
    <w:p w14:paraId="4716D4ED" w14:textId="77777777" w:rsidR="003A367B" w:rsidRPr="00F64D80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F64D80">
        <w:rPr>
          <w:rFonts w:ascii="Arial" w:hAnsi="Arial" w:cs="Arial"/>
          <w:b/>
          <w:sz w:val="20"/>
          <w:szCs w:val="20"/>
        </w:rPr>
        <w:t>Druhy ochranných opatrení pred zásahom elektrickým prúdom</w:t>
      </w:r>
    </w:p>
    <w:p w14:paraId="51F35DE4" w14:textId="77777777" w:rsidR="003A367B" w:rsidRPr="00F64D80" w:rsidRDefault="003A367B" w:rsidP="003A36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Základná ochrana - ochrana pred priamym dotykom podľa STN 33 2000-4-41/2007:</w:t>
      </w:r>
    </w:p>
    <w:p w14:paraId="0065CCD9" w14:textId="77777777" w:rsidR="003A367B" w:rsidRPr="00F64D80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Samočinné odpojenie napájania - kap. 411</w:t>
      </w:r>
    </w:p>
    <w:p w14:paraId="5C704C37" w14:textId="77777777" w:rsidR="003A367B" w:rsidRPr="00F64D80" w:rsidRDefault="003A367B" w:rsidP="003A367B">
      <w:pPr>
        <w:pStyle w:val="Odsekzoznamu"/>
        <w:numPr>
          <w:ilvl w:val="0"/>
          <w:numId w:val="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Základná izolácia živých častí - príloha A.1</w:t>
      </w:r>
    </w:p>
    <w:p w14:paraId="5B28BA57" w14:textId="77777777" w:rsidR="003A367B" w:rsidRPr="00F64D80" w:rsidRDefault="003A367B" w:rsidP="003A367B">
      <w:pPr>
        <w:pStyle w:val="Odsekzoznamu"/>
        <w:numPr>
          <w:ilvl w:val="0"/>
          <w:numId w:val="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Zábrany alebo kryty - príloha A.2</w:t>
      </w:r>
    </w:p>
    <w:p w14:paraId="44817419" w14:textId="77777777" w:rsidR="003A367B" w:rsidRPr="00F64D80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Dvojitá alebo zosilnená izolácia – kap. 412</w:t>
      </w:r>
    </w:p>
    <w:p w14:paraId="354FAA6A" w14:textId="77777777" w:rsidR="003A367B" w:rsidRPr="00F64D80" w:rsidRDefault="003A367B" w:rsidP="003A36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Ochrana pri poruche - ochrana pred nepriamym dotykom podľa STN 33 2000-4-41/2007:</w:t>
      </w:r>
    </w:p>
    <w:p w14:paraId="4C497B59" w14:textId="77777777" w:rsidR="003A367B" w:rsidRPr="00F64D80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lastRenderedPageBreak/>
        <w:t>Samočinné odpojenie napájania - kap. 411</w:t>
      </w:r>
    </w:p>
    <w:p w14:paraId="3A0DF32D" w14:textId="77777777" w:rsidR="003A367B" w:rsidRPr="00F64D80" w:rsidRDefault="003A367B" w:rsidP="003A367B">
      <w:pPr>
        <w:pStyle w:val="Odsekzoznamu"/>
        <w:numPr>
          <w:ilvl w:val="0"/>
          <w:numId w:val="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Ochranné uzemnenie a ochranné pospájanie - čl.411.3.1</w:t>
      </w:r>
    </w:p>
    <w:p w14:paraId="4436EA20" w14:textId="77777777" w:rsidR="003A367B" w:rsidRPr="00F64D80" w:rsidRDefault="003A367B" w:rsidP="003A367B">
      <w:pPr>
        <w:pStyle w:val="Odsekzoznamu"/>
        <w:numPr>
          <w:ilvl w:val="0"/>
          <w:numId w:val="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Samočinné odpojenie pri poruche - čl.411.3.2</w:t>
      </w:r>
    </w:p>
    <w:p w14:paraId="09C0B33B" w14:textId="77777777" w:rsidR="003A367B" w:rsidRPr="00F64D80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F64D80">
        <w:rPr>
          <w:rFonts w:ascii="Arial" w:hAnsi="Arial" w:cs="Arial"/>
          <w:b/>
          <w:sz w:val="20"/>
          <w:szCs w:val="20"/>
        </w:rPr>
        <w:t>Prostredia: určené komisionálne v zmysle STN 332000-5-51</w:t>
      </w:r>
    </w:p>
    <w:p w14:paraId="40A89D99" w14:textId="77777777" w:rsidR="003A367B" w:rsidRPr="00F64D80" w:rsidRDefault="003A367B" w:rsidP="003A367B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F64D80">
        <w:rPr>
          <w:rFonts w:ascii="Arial" w:eastAsia="Calibri" w:hAnsi="Arial" w:cs="Arial"/>
          <w:sz w:val="20"/>
          <w:szCs w:val="20"/>
        </w:rPr>
        <w:t>Priestory v riešenom objekte sú priestory so zaradením:</w:t>
      </w:r>
    </w:p>
    <w:p w14:paraId="1FB2D525" w14:textId="77777777" w:rsidR="003A367B" w:rsidRPr="00F64D80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Vonkajšie priestory</w:t>
      </w:r>
    </w:p>
    <w:p w14:paraId="2AA7A8C3" w14:textId="77777777" w:rsidR="003A367B" w:rsidRPr="00F64D80" w:rsidRDefault="003A367B" w:rsidP="003A367B">
      <w:pPr>
        <w:jc w:val="both"/>
        <w:rPr>
          <w:rFonts w:ascii="Arial" w:eastAsia="Calibri" w:hAnsi="Arial" w:cs="Arial"/>
          <w:sz w:val="20"/>
          <w:szCs w:val="20"/>
        </w:rPr>
      </w:pPr>
      <w:r w:rsidRPr="00F64D80">
        <w:rPr>
          <w:rFonts w:ascii="Arial" w:eastAsia="Calibri" w:hAnsi="Arial" w:cs="Arial"/>
          <w:sz w:val="20"/>
          <w:szCs w:val="20"/>
        </w:rPr>
        <w:t>Prostredie je stanovené podľa STN 33 2000 5-51: AA7, AB7, AC1, AD1 (tr.4Z6 EN 60721-3-4), AM1-1, AM2-2, AM3-2, AM8-1, AM9-1, AN3, AP1, AQ3, BD1, BE1, CA1, CB1</w:t>
      </w:r>
    </w:p>
    <w:p w14:paraId="7D01FCC7" w14:textId="77777777" w:rsidR="003A367B" w:rsidRPr="00F64D80" w:rsidRDefault="003A367B" w:rsidP="003A367B">
      <w:pPr>
        <w:jc w:val="both"/>
        <w:rPr>
          <w:rFonts w:ascii="Arial" w:eastAsia="Calibri" w:hAnsi="Arial" w:cs="Arial"/>
          <w:sz w:val="20"/>
          <w:szCs w:val="20"/>
        </w:rPr>
      </w:pPr>
      <w:r w:rsidRPr="00F64D80">
        <w:rPr>
          <w:rFonts w:ascii="Arial" w:eastAsia="Calibri" w:hAnsi="Arial" w:cs="Arial"/>
          <w:sz w:val="20"/>
          <w:szCs w:val="20"/>
        </w:rPr>
        <w:t>Prostredia zohľadňujú predpokladané druhy prevádzky. Po uvedení do prevádzky je nutné prehodnotiť určené prostredia a vyhotoviť písomný záznam o ich potvrdení, prípadne o  ich úprave.</w:t>
      </w:r>
    </w:p>
    <w:p w14:paraId="504B6A7C" w14:textId="77777777" w:rsidR="003A367B" w:rsidRPr="00F64D80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F64D80">
        <w:rPr>
          <w:rFonts w:ascii="Arial" w:hAnsi="Arial" w:cs="Arial"/>
          <w:b/>
          <w:sz w:val="20"/>
          <w:szCs w:val="20"/>
        </w:rPr>
        <w:t>Farebné označenie vodičov</w:t>
      </w:r>
    </w:p>
    <w:p w14:paraId="7840EB30" w14:textId="77777777" w:rsidR="003A367B" w:rsidRPr="00F64D80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V zmysle DIN VDE 0293-308 (káble typu NAYY a NYY)</w:t>
      </w:r>
    </w:p>
    <w:p w14:paraId="6D8B8FF7" w14:textId="77777777" w:rsidR="003A367B" w:rsidRPr="00F64D80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V zmysle STN EN 60445: Základné a bezpečnostné zásady pre rozhranie človek-stroj, označovanie a identifikácia. Identifikácia svoriek zariadení a prípojov vodičov a vodičov</w:t>
      </w:r>
    </w:p>
    <w:p w14:paraId="1E1ED691" w14:textId="77777777" w:rsidR="003A367B" w:rsidRPr="00F64D80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bookmarkStart w:id="1" w:name="_Toc66854552"/>
      <w:bookmarkStart w:id="2" w:name="_Toc91307966"/>
      <w:bookmarkStart w:id="3" w:name="_Toc94680667"/>
      <w:r w:rsidRPr="00F64D80">
        <w:rPr>
          <w:rFonts w:ascii="Arial" w:hAnsi="Arial" w:cs="Arial"/>
          <w:b/>
          <w:sz w:val="20"/>
          <w:szCs w:val="20"/>
        </w:rPr>
        <w:t>Zostatkové nebezpečenstvo</w:t>
      </w:r>
      <w:bookmarkEnd w:id="1"/>
      <w:bookmarkEnd w:id="2"/>
      <w:bookmarkEnd w:id="3"/>
    </w:p>
    <w:p w14:paraId="201A3871" w14:textId="77777777" w:rsidR="003A367B" w:rsidRPr="00F64D80" w:rsidRDefault="003A367B" w:rsidP="003A367B">
      <w:pPr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Pri dodržaní požiadaviek projektu, správnej aplikácii požiadaviek na ochranu pred úrazom elektrickým prúdom, pri pravidelnej revízii a údržbe nevzniká zostatkové nebezpečenstvo.</w:t>
      </w:r>
    </w:p>
    <w:p w14:paraId="7635FDAC" w14:textId="77777777" w:rsidR="00350684" w:rsidRPr="007A7B5A" w:rsidRDefault="00350684" w:rsidP="00350684">
      <w:pPr>
        <w:spacing w:after="0"/>
        <w:jc w:val="both"/>
        <w:rPr>
          <w:rFonts w:ascii="Arial" w:hAnsi="Arial" w:cs="Arial"/>
          <w:sz w:val="20"/>
          <w:szCs w:val="20"/>
        </w:rPr>
      </w:pPr>
      <w:r w:rsidRPr="007A7B5A">
        <w:rPr>
          <w:rFonts w:ascii="Arial" w:hAnsi="Arial" w:cs="Arial"/>
          <w:b/>
          <w:sz w:val="20"/>
          <w:szCs w:val="20"/>
        </w:rPr>
        <w:t>Energetická bilancia</w:t>
      </w:r>
    </w:p>
    <w:p w14:paraId="10519F21" w14:textId="77777777" w:rsidR="00350684" w:rsidRPr="007A7B5A" w:rsidRDefault="00350684" w:rsidP="00350684">
      <w:pPr>
        <w:jc w:val="both"/>
        <w:rPr>
          <w:rFonts w:ascii="Arial" w:hAnsi="Arial" w:cs="Arial"/>
          <w:sz w:val="20"/>
          <w:szCs w:val="20"/>
        </w:rPr>
      </w:pPr>
      <w:r w:rsidRPr="007A7B5A">
        <w:rPr>
          <w:rFonts w:ascii="Arial" w:hAnsi="Arial" w:cs="Arial"/>
          <w:sz w:val="20"/>
          <w:szCs w:val="20"/>
        </w:rPr>
        <w:t>Požadovaná energetická bilancia objektov je:</w:t>
      </w:r>
    </w:p>
    <w:p w14:paraId="13E71231" w14:textId="6A768FD5" w:rsidR="00350684" w:rsidRPr="00350684" w:rsidRDefault="00350684" w:rsidP="00FB3235">
      <w:pPr>
        <w:spacing w:after="0"/>
        <w:ind w:left="708" w:firstLine="708"/>
        <w:jc w:val="both"/>
        <w:rPr>
          <w:rFonts w:ascii="Arial" w:hAnsi="Arial" w:cs="Arial"/>
          <w:b/>
          <w:sz w:val="20"/>
          <w:szCs w:val="20"/>
        </w:rPr>
      </w:pPr>
      <w:r w:rsidRPr="00350684">
        <w:rPr>
          <w:rFonts w:ascii="Arial" w:hAnsi="Arial" w:cs="Arial"/>
          <w:b/>
          <w:sz w:val="20"/>
          <w:szCs w:val="20"/>
        </w:rPr>
        <w:t>Pi = 2</w:t>
      </w:r>
      <w:r w:rsidR="00FB3235">
        <w:rPr>
          <w:rFonts w:ascii="Arial" w:hAnsi="Arial" w:cs="Arial"/>
          <w:b/>
          <w:sz w:val="20"/>
          <w:szCs w:val="20"/>
        </w:rPr>
        <w:t>472,5</w:t>
      </w:r>
      <w:r w:rsidRPr="00350684">
        <w:rPr>
          <w:rFonts w:ascii="Arial" w:hAnsi="Arial" w:cs="Arial"/>
          <w:b/>
          <w:sz w:val="20"/>
          <w:szCs w:val="20"/>
        </w:rPr>
        <w:t xml:space="preserve"> kW</w:t>
      </w:r>
      <w:r w:rsidRPr="00350684">
        <w:rPr>
          <w:rFonts w:ascii="Arial" w:hAnsi="Arial" w:cs="Arial"/>
          <w:b/>
          <w:sz w:val="20"/>
          <w:szCs w:val="20"/>
        </w:rPr>
        <w:tab/>
      </w:r>
      <w:r w:rsidRPr="00350684">
        <w:rPr>
          <w:rFonts w:ascii="Arial" w:hAnsi="Arial" w:cs="Arial"/>
          <w:b/>
          <w:sz w:val="20"/>
          <w:szCs w:val="20"/>
        </w:rPr>
        <w:tab/>
      </w:r>
      <w:r w:rsidRPr="00350684">
        <w:rPr>
          <w:rFonts w:ascii="Arial" w:hAnsi="Arial" w:cs="Arial"/>
          <w:b/>
          <w:sz w:val="20"/>
          <w:szCs w:val="20"/>
        </w:rPr>
        <w:tab/>
      </w:r>
      <w:r w:rsidRPr="00350684">
        <w:rPr>
          <w:rFonts w:ascii="Arial" w:hAnsi="Arial" w:cs="Arial"/>
          <w:b/>
          <w:sz w:val="20"/>
          <w:szCs w:val="20"/>
        </w:rPr>
        <w:tab/>
        <w:t xml:space="preserve">Ps = </w:t>
      </w:r>
      <w:r w:rsidR="00FB3235">
        <w:rPr>
          <w:rFonts w:ascii="Arial" w:hAnsi="Arial" w:cs="Arial"/>
          <w:b/>
          <w:sz w:val="20"/>
          <w:szCs w:val="20"/>
        </w:rPr>
        <w:t>415,2</w:t>
      </w:r>
      <w:r w:rsidRPr="00350684">
        <w:rPr>
          <w:rFonts w:ascii="Arial" w:hAnsi="Arial" w:cs="Arial"/>
          <w:b/>
          <w:sz w:val="20"/>
          <w:szCs w:val="20"/>
        </w:rPr>
        <w:t>kW</w:t>
      </w:r>
    </w:p>
    <w:p w14:paraId="1530CE82" w14:textId="77777777" w:rsidR="00350684" w:rsidRPr="00350684" w:rsidRDefault="00350684" w:rsidP="003A367B">
      <w:pPr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28F410A2" w14:textId="57312862" w:rsidR="003A367B" w:rsidRPr="00F64D80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F64D80">
        <w:rPr>
          <w:rFonts w:ascii="Arial" w:hAnsi="Arial" w:cs="Arial"/>
          <w:b/>
          <w:sz w:val="20"/>
          <w:szCs w:val="20"/>
        </w:rPr>
        <w:t xml:space="preserve">Meranie el. práce  </w:t>
      </w:r>
    </w:p>
    <w:p w14:paraId="362ED891" w14:textId="23B01B78" w:rsidR="003A367B" w:rsidRPr="00F64D80" w:rsidRDefault="003A367B" w:rsidP="003A367B">
      <w:pPr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Nie je predmetom PD.</w:t>
      </w:r>
      <w:r w:rsidR="00981EF2">
        <w:rPr>
          <w:rFonts w:ascii="Arial" w:hAnsi="Arial" w:cs="Arial"/>
          <w:sz w:val="20"/>
          <w:szCs w:val="20"/>
        </w:rPr>
        <w:t xml:space="preserve"> Je riešené v elektromerových rozvádzačoch RE v rámci SO 001 Bytový dom.</w:t>
      </w:r>
    </w:p>
    <w:p w14:paraId="3E36F19E" w14:textId="77777777" w:rsidR="003A367B" w:rsidRPr="008D19A4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8D19A4">
        <w:rPr>
          <w:rFonts w:ascii="Arial" w:hAnsi="Arial" w:cs="Arial"/>
          <w:b/>
          <w:sz w:val="20"/>
          <w:szCs w:val="20"/>
        </w:rPr>
        <w:t>Bezpečnostné upozornenia</w:t>
      </w:r>
    </w:p>
    <w:p w14:paraId="5CE0040D" w14:textId="77777777" w:rsidR="003A367B" w:rsidRPr="008D19A4" w:rsidRDefault="003A367B" w:rsidP="003A36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8D19A4">
        <w:rPr>
          <w:rFonts w:ascii="Arial" w:hAnsi="Arial" w:cs="Arial"/>
          <w:sz w:val="20"/>
          <w:szCs w:val="20"/>
        </w:rPr>
        <w:t xml:space="preserve">Montáž elektrických rozvodov a zariadení môžu vykonať iba odborne spôsobilé osoby podľa. §21 až §23 vyhl. Ministerstva práce, sociálnych vecí a rodiny SR č.508/2009 Zb.z.. Pri montáži sa musia dodržiavať platné bezpečnostné predpisy, hlavne podľa vyhlášky §3 a §9 SÚBP 59/82Zb. v znení vyhlášky SÚBP a SBÚ 147/2013Zb. a 484/90Zb. Najmä elektrické vedenia musia byť uložené a vyhotovené tak, aby boli prehľadné, čo najkratšie, a aby sa križovali len v odôvodnených prípadoch. Priechody elektrického vedenia stenami a konštrukciami musia byť vyhotovené tak, aby nebolo ohrozené elektrické vedenie, podklady ani okolité priestory. Vzdialenosti vodičov a káblov navzájom, od častí budov, nosných a iných konštrukcií musia byť vyhotovujúce podľa druhu izolácie vodičov a káblov a podľa ich uloženia. Spoje izolovaných vodičov nesmú znižovať stupeň izolácie elektrického vedenia. V rúrkach a podobnom úložnom materiály sa nesmú vodiče spájať. </w:t>
      </w:r>
    </w:p>
    <w:p w14:paraId="190855C5" w14:textId="77777777" w:rsidR="003A367B" w:rsidRPr="008D19A4" w:rsidRDefault="003A367B" w:rsidP="003A36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8D19A4">
        <w:rPr>
          <w:rFonts w:ascii="Arial" w:hAnsi="Arial" w:cs="Arial"/>
          <w:sz w:val="20"/>
          <w:szCs w:val="20"/>
        </w:rPr>
        <w:t>Po montáži, pred uvedením do prevádzky sa musí vykonať odborná prehliadka a odborná skúška podľa. STN 33 1500, STN 33 2000-6 a vyhl. Ministerstva práce, sociálnych vecí a rodiny SR č.508/2009 Zb.z..</w:t>
      </w:r>
    </w:p>
    <w:p w14:paraId="6FCF2162" w14:textId="77777777" w:rsidR="003A367B" w:rsidRPr="008D19A4" w:rsidRDefault="003A367B" w:rsidP="003A367B">
      <w:pPr>
        <w:jc w:val="both"/>
        <w:rPr>
          <w:rFonts w:ascii="Arial" w:hAnsi="Arial" w:cs="Arial"/>
          <w:sz w:val="20"/>
          <w:szCs w:val="20"/>
        </w:rPr>
      </w:pPr>
      <w:r w:rsidRPr="008D19A4">
        <w:rPr>
          <w:rFonts w:ascii="Arial" w:hAnsi="Arial" w:cs="Arial"/>
          <w:sz w:val="20"/>
          <w:szCs w:val="20"/>
        </w:rPr>
        <w:t>Pri prevádzkovaní navrhovaných el. zariadení dodržiavať ustanovenia STN 34 3100-08.</w:t>
      </w:r>
    </w:p>
    <w:p w14:paraId="7C5710AE" w14:textId="77777777" w:rsidR="00B93470" w:rsidRDefault="00B93470" w:rsidP="003A367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1CF8A37F" w14:textId="77777777" w:rsidR="00B93470" w:rsidRDefault="00B93470" w:rsidP="003A367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1C26B2BB" w14:textId="77777777" w:rsidR="00B93470" w:rsidRDefault="00B93470" w:rsidP="003A367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7EEFDBE4" w14:textId="77777777" w:rsidR="00B93470" w:rsidRDefault="00B93470" w:rsidP="003A367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1D24D2CB" w14:textId="77777777" w:rsidR="00B93470" w:rsidRDefault="00B93470" w:rsidP="003A367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31AF58A" w14:textId="77777777" w:rsidR="00B93470" w:rsidRDefault="00B93470" w:rsidP="003A367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61D98E23" w14:textId="77777777" w:rsidR="00171B3C" w:rsidRDefault="00171B3C" w:rsidP="003A367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5DB58B4" w14:textId="7980EB8E" w:rsidR="00C80DED" w:rsidRPr="006D7C59" w:rsidRDefault="003A367B" w:rsidP="003A367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D7C59">
        <w:rPr>
          <w:rFonts w:ascii="Arial" w:hAnsi="Arial" w:cs="Arial"/>
          <w:b/>
          <w:sz w:val="24"/>
          <w:szCs w:val="24"/>
        </w:rPr>
        <w:lastRenderedPageBreak/>
        <w:t>Technické riešenie</w:t>
      </w:r>
    </w:p>
    <w:p w14:paraId="38C8E600" w14:textId="2CC074D1" w:rsidR="00171B3C" w:rsidRDefault="00041D96" w:rsidP="00171B3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Pre napojenie objektu bytového domu </w:t>
      </w:r>
      <w:r w:rsidR="00171B3C">
        <w:rPr>
          <w:rFonts w:ascii="Arial" w:hAnsi="Arial" w:cs="Arial"/>
          <w:bCs/>
          <w:sz w:val="20"/>
          <w:szCs w:val="20"/>
        </w:rPr>
        <w:t>SO 001 z navrhovanej SR skrine bude vybudovaný areálový rozvod NN</w:t>
      </w:r>
      <w:r>
        <w:rPr>
          <w:rFonts w:ascii="Arial" w:hAnsi="Arial" w:cs="Arial"/>
          <w:bCs/>
          <w:sz w:val="20"/>
          <w:szCs w:val="20"/>
        </w:rPr>
        <w:t xml:space="preserve">. </w:t>
      </w:r>
      <w:r w:rsidR="00171B3C">
        <w:rPr>
          <w:rFonts w:ascii="Arial" w:hAnsi="Arial" w:cs="Arial"/>
          <w:bCs/>
          <w:sz w:val="20"/>
          <w:szCs w:val="20"/>
        </w:rPr>
        <w:t>Z predmetnej SR skrine riešenej v rámci SO 304 Prípojka nízkeho napätia budú vedené káble 2x(1-CYKY-J 4x185) v zemi v priestore areálu objektu s následným prestupom ŽB stenou do priestoru podzemného parkoviska na 1.PP. V priestore 1.PP budú vedené na káblových žľaboch pod stropom, ukončené na svorkách prívodového poľa elektromerového rozvádzača. V SR skrini budú osadené poistky 2x(3x315A). Pre prestup ŽB stenou budú použité typové káblové priechodky, napr. Bettra HSI pre zabezpečenie vodotesnosti prestupu.</w:t>
      </w:r>
    </w:p>
    <w:p w14:paraId="6E4E46D9" w14:textId="3FA2E25A" w:rsidR="006A0341" w:rsidRPr="006A0341" w:rsidRDefault="006A0341" w:rsidP="006A0341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6A0341">
        <w:rPr>
          <w:rFonts w:ascii="Arial" w:hAnsi="Arial" w:cs="Arial"/>
          <w:b/>
          <w:sz w:val="20"/>
          <w:szCs w:val="20"/>
        </w:rPr>
        <w:t>Napojenie čerpacej stanice splaškovej vody</w:t>
      </w:r>
    </w:p>
    <w:p w14:paraId="66D25B54" w14:textId="7D7B5696" w:rsidR="006A0341" w:rsidRDefault="006A0341" w:rsidP="00171B3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Rozvádzač čerpacej stanice bude napojený z rozvádzača spoločnej spotreby objektu RSP káblom typu CYKY-J 5x6 vedeným v časti na káblovom žľabe v priestore 1.PP a následne v areáli objektu v zemi. Rozvádzač je v dodávke čerpacej stanice.</w:t>
      </w:r>
    </w:p>
    <w:p w14:paraId="35E47542" w14:textId="70885244" w:rsidR="0065052F" w:rsidRPr="00171B3C" w:rsidRDefault="0065052F" w:rsidP="00171B3C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64716F">
        <w:rPr>
          <w:rFonts w:ascii="Arial" w:hAnsi="Arial" w:cs="Arial"/>
          <w:b/>
          <w:bCs/>
          <w:sz w:val="20"/>
          <w:szCs w:val="20"/>
        </w:rPr>
        <w:t>Uloženie vedení NN v zemi</w:t>
      </w:r>
    </w:p>
    <w:p w14:paraId="2DA026B3" w14:textId="0A68D282" w:rsidR="00C80DED" w:rsidRPr="0065052F" w:rsidRDefault="0065052F" w:rsidP="0065052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64716F">
        <w:rPr>
          <w:rFonts w:ascii="Arial" w:hAnsi="Arial" w:cs="Arial"/>
          <w:sz w:val="20"/>
          <w:szCs w:val="20"/>
        </w:rPr>
        <w:t xml:space="preserve">Káble NN musia byť uložené v zemi pri dodržaní STN 33 2000-5-53 a STN 73 60 05 s min. krytím </w:t>
      </w:r>
      <w:smartTag w:uri="urn:schemas-microsoft-com:office:smarttags" w:element="metricconverter">
        <w:smartTagPr>
          <w:attr w:name="ProductID" w:val="0,7 m"/>
        </w:smartTagPr>
        <w:r w:rsidRPr="0064716F">
          <w:rPr>
            <w:rFonts w:ascii="Arial" w:hAnsi="Arial" w:cs="Arial"/>
            <w:sz w:val="20"/>
            <w:szCs w:val="20"/>
          </w:rPr>
          <w:t>0,7 m</w:t>
        </w:r>
      </w:smartTag>
      <w:r w:rsidRPr="0064716F">
        <w:rPr>
          <w:rFonts w:ascii="Arial" w:hAnsi="Arial" w:cs="Arial"/>
          <w:sz w:val="20"/>
          <w:szCs w:val="20"/>
        </w:rPr>
        <w:t xml:space="preserve"> pod Ú.T., </w:t>
      </w:r>
      <w:smartTag w:uri="urn:schemas-microsoft-com:office:smarttags" w:element="metricconverter">
        <w:smartTagPr>
          <w:attr w:name="ProductID" w:val="0,35 m"/>
        </w:smartTagPr>
        <w:r w:rsidRPr="0064716F">
          <w:rPr>
            <w:rFonts w:ascii="Arial" w:hAnsi="Arial" w:cs="Arial"/>
            <w:sz w:val="20"/>
            <w:szCs w:val="20"/>
          </w:rPr>
          <w:t>0,35 m</w:t>
        </w:r>
      </w:smartTag>
      <w:r w:rsidRPr="0064716F">
        <w:rPr>
          <w:rFonts w:ascii="Arial" w:hAnsi="Arial" w:cs="Arial"/>
          <w:sz w:val="20"/>
          <w:szCs w:val="20"/>
        </w:rPr>
        <w:t xml:space="preserve"> pod chodníkom, </w:t>
      </w:r>
      <w:smartTag w:uri="urn:schemas-microsoft-com:office:smarttags" w:element="metricconverter">
        <w:smartTagPr>
          <w:attr w:name="ProductID" w:val="1,0 m"/>
        </w:smartTagPr>
        <w:r w:rsidRPr="0064716F">
          <w:rPr>
            <w:rFonts w:ascii="Arial" w:hAnsi="Arial" w:cs="Arial"/>
            <w:sz w:val="20"/>
            <w:szCs w:val="20"/>
          </w:rPr>
          <w:t>1,0 m</w:t>
        </w:r>
      </w:smartTag>
      <w:r w:rsidRPr="0064716F">
        <w:rPr>
          <w:rFonts w:ascii="Arial" w:hAnsi="Arial" w:cs="Arial"/>
          <w:sz w:val="20"/>
          <w:szCs w:val="20"/>
        </w:rPr>
        <w:t xml:space="preserve"> pod komunikáciou s chránením chráničkou pri jej križovaní. V zemi uložené vo vodorovnej vzdialenosti min.0,4 m od NTL a min.0,6 m od STL plynovodu pri ich súbehu a vo zvislej vzdialenosti min.0,1 m od NTL a min.0,1 m od STL plynovodu pri ich križovaní v chráničke presahujúci plynovod na každú stranu o 1,0 m. Pri križovaní bez chráničky min. </w:t>
      </w:r>
      <w:smartTag w:uri="urn:schemas-microsoft-com:office:smarttags" w:element="metricconverter">
        <w:smartTagPr>
          <w:attr w:name="ProductID" w:val="0,4 m"/>
        </w:smartTagPr>
        <w:r w:rsidRPr="0064716F">
          <w:rPr>
            <w:rFonts w:ascii="Arial" w:hAnsi="Arial" w:cs="Arial"/>
            <w:sz w:val="20"/>
            <w:szCs w:val="20"/>
          </w:rPr>
          <w:t>0,4 m</w:t>
        </w:r>
      </w:smartTag>
      <w:r w:rsidRPr="0064716F">
        <w:rPr>
          <w:rFonts w:ascii="Arial" w:hAnsi="Arial" w:cs="Arial"/>
          <w:sz w:val="20"/>
          <w:szCs w:val="20"/>
        </w:rPr>
        <w:t xml:space="preserve"> od NTL plynovodu a min. </w:t>
      </w:r>
      <w:smartTag w:uri="urn:schemas-microsoft-com:office:smarttags" w:element="metricconverter">
        <w:smartTagPr>
          <w:attr w:name="ProductID" w:val="1,0 m"/>
        </w:smartTagPr>
        <w:r w:rsidRPr="0064716F">
          <w:rPr>
            <w:rFonts w:ascii="Arial" w:hAnsi="Arial" w:cs="Arial"/>
            <w:sz w:val="20"/>
            <w:szCs w:val="20"/>
          </w:rPr>
          <w:t>1,0 m</w:t>
        </w:r>
      </w:smartTag>
      <w:r w:rsidRPr="0064716F">
        <w:rPr>
          <w:rFonts w:ascii="Arial" w:hAnsi="Arial" w:cs="Arial"/>
          <w:sz w:val="20"/>
          <w:szCs w:val="20"/>
        </w:rPr>
        <w:t xml:space="preserve"> od STL plynovodu.</w:t>
      </w:r>
    </w:p>
    <w:p w14:paraId="1B1D2BEA" w14:textId="77777777" w:rsidR="003A367B" w:rsidRPr="0011731F" w:rsidRDefault="003A367B" w:rsidP="003A367B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492A62A9" w14:textId="77777777" w:rsidR="003A367B" w:rsidRPr="008D19A4" w:rsidRDefault="003A367B" w:rsidP="003A367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D19A4">
        <w:rPr>
          <w:rFonts w:ascii="Arial" w:hAnsi="Arial" w:cs="Arial"/>
          <w:b/>
          <w:sz w:val="20"/>
          <w:szCs w:val="20"/>
        </w:rPr>
        <w:t>Ostatné podrobnosti sú zrejmé z výkresovej časti PD, prípadne budú upresnené v nasledujúcom stupni PD.</w:t>
      </w:r>
    </w:p>
    <w:p w14:paraId="39DBE1B6" w14:textId="3ADF0785" w:rsidR="008101F5" w:rsidRPr="003A367B" w:rsidRDefault="003A367B" w:rsidP="003A367B">
      <w:pPr>
        <w:spacing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D19A4">
        <w:rPr>
          <w:rFonts w:ascii="Arial" w:eastAsia="Calibri" w:hAnsi="Arial" w:cs="Arial"/>
          <w:sz w:val="20"/>
          <w:szCs w:val="20"/>
        </w:rPr>
        <w:t xml:space="preserve">V Bratislave, </w:t>
      </w:r>
      <w:r w:rsidR="00AB774A">
        <w:rPr>
          <w:rFonts w:ascii="Arial" w:eastAsia="Calibri" w:hAnsi="Arial" w:cs="Arial"/>
          <w:sz w:val="20"/>
          <w:szCs w:val="20"/>
        </w:rPr>
        <w:t>0</w:t>
      </w:r>
      <w:r w:rsidR="00D379FB">
        <w:rPr>
          <w:rFonts w:ascii="Arial" w:eastAsia="Calibri" w:hAnsi="Arial" w:cs="Arial"/>
          <w:sz w:val="20"/>
          <w:szCs w:val="20"/>
        </w:rPr>
        <w:t>6</w:t>
      </w:r>
      <w:r w:rsidRPr="008D19A4">
        <w:rPr>
          <w:rFonts w:ascii="Arial" w:eastAsia="Calibri" w:hAnsi="Arial" w:cs="Arial"/>
          <w:sz w:val="20"/>
          <w:szCs w:val="20"/>
        </w:rPr>
        <w:t>/202</w:t>
      </w:r>
      <w:r w:rsidR="00AB774A">
        <w:rPr>
          <w:rFonts w:ascii="Arial" w:eastAsia="Calibri" w:hAnsi="Arial" w:cs="Arial"/>
          <w:sz w:val="20"/>
          <w:szCs w:val="20"/>
        </w:rPr>
        <w:t>3</w:t>
      </w:r>
      <w:r w:rsidRPr="008D19A4">
        <w:rPr>
          <w:rFonts w:ascii="Arial" w:eastAsia="Calibri" w:hAnsi="Arial" w:cs="Arial"/>
          <w:sz w:val="20"/>
          <w:szCs w:val="20"/>
        </w:rPr>
        <w:tab/>
      </w:r>
      <w:r w:rsidRPr="008D19A4">
        <w:rPr>
          <w:rFonts w:ascii="Arial" w:eastAsia="Calibri" w:hAnsi="Arial" w:cs="Arial"/>
          <w:sz w:val="20"/>
          <w:szCs w:val="20"/>
        </w:rPr>
        <w:tab/>
      </w:r>
      <w:r w:rsidRPr="008D19A4">
        <w:rPr>
          <w:rFonts w:ascii="Arial" w:eastAsia="Calibri" w:hAnsi="Arial" w:cs="Arial"/>
          <w:sz w:val="20"/>
          <w:szCs w:val="20"/>
        </w:rPr>
        <w:tab/>
      </w:r>
      <w:r w:rsidRPr="008D19A4">
        <w:rPr>
          <w:rFonts w:ascii="Arial" w:eastAsia="Calibri" w:hAnsi="Arial" w:cs="Arial"/>
          <w:sz w:val="20"/>
          <w:szCs w:val="20"/>
        </w:rPr>
        <w:tab/>
      </w:r>
      <w:r w:rsidRPr="008D19A4">
        <w:rPr>
          <w:rFonts w:ascii="Arial" w:eastAsia="Calibri" w:hAnsi="Arial" w:cs="Arial"/>
          <w:sz w:val="20"/>
          <w:szCs w:val="20"/>
        </w:rPr>
        <w:tab/>
      </w:r>
      <w:r w:rsidRPr="008D19A4">
        <w:rPr>
          <w:rFonts w:ascii="Arial" w:eastAsia="Calibri" w:hAnsi="Arial" w:cs="Arial"/>
          <w:sz w:val="20"/>
          <w:szCs w:val="20"/>
        </w:rPr>
        <w:tab/>
      </w:r>
      <w:r w:rsidRPr="008D19A4">
        <w:rPr>
          <w:rFonts w:ascii="Arial" w:eastAsia="Calibri" w:hAnsi="Arial" w:cs="Arial"/>
          <w:sz w:val="20"/>
          <w:szCs w:val="20"/>
        </w:rPr>
        <w:tab/>
        <w:t>Ing. Peter Jašš</w:t>
      </w:r>
      <w:r w:rsidRPr="000F488B">
        <w:rPr>
          <w:rFonts w:ascii="Arial" w:eastAsia="Calibri" w:hAnsi="Arial" w:cs="Arial"/>
          <w:sz w:val="20"/>
          <w:szCs w:val="20"/>
        </w:rPr>
        <w:tab/>
      </w:r>
      <w:r w:rsidRPr="000F488B">
        <w:rPr>
          <w:rFonts w:ascii="Arial" w:eastAsia="Calibri" w:hAnsi="Arial" w:cs="Arial"/>
          <w:sz w:val="20"/>
          <w:szCs w:val="20"/>
        </w:rPr>
        <w:tab/>
      </w:r>
      <w:r w:rsidRPr="000F488B">
        <w:rPr>
          <w:rFonts w:ascii="Arial" w:eastAsia="Calibri" w:hAnsi="Arial" w:cs="Arial"/>
          <w:sz w:val="20"/>
          <w:szCs w:val="20"/>
        </w:rPr>
        <w:tab/>
      </w:r>
      <w:r w:rsidRPr="000F488B">
        <w:rPr>
          <w:rFonts w:ascii="Arial" w:eastAsia="Calibri" w:hAnsi="Arial" w:cs="Arial"/>
          <w:sz w:val="20"/>
          <w:szCs w:val="20"/>
        </w:rPr>
        <w:tab/>
      </w:r>
      <w:r w:rsidRPr="000F488B">
        <w:rPr>
          <w:rFonts w:ascii="Arial" w:eastAsia="Calibri" w:hAnsi="Arial" w:cs="Arial"/>
          <w:sz w:val="20"/>
          <w:szCs w:val="20"/>
        </w:rPr>
        <w:tab/>
      </w:r>
    </w:p>
    <w:sectPr w:rsidR="008101F5" w:rsidRPr="003A367B" w:rsidSect="00396D38">
      <w:headerReference w:type="default" r:id="rId7"/>
      <w:foot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71663" w14:textId="77777777" w:rsidR="00BC215C" w:rsidRDefault="00BC215C" w:rsidP="00396D38">
      <w:pPr>
        <w:spacing w:after="0" w:line="240" w:lineRule="auto"/>
      </w:pPr>
      <w:r>
        <w:separator/>
      </w:r>
    </w:p>
  </w:endnote>
  <w:endnote w:type="continuationSeparator" w:id="0">
    <w:p w14:paraId="2EF66C8A" w14:textId="77777777" w:rsidR="00BC215C" w:rsidRDefault="00BC215C" w:rsidP="00396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9B716" w14:textId="77777777" w:rsidR="003E585E" w:rsidRDefault="003E585E" w:rsidP="00396D38">
    <w:pPr>
      <w:pBdr>
        <w:top w:val="single" w:sz="4" w:space="1" w:color="auto"/>
      </w:pBdr>
      <w:spacing w:after="0"/>
      <w:jc w:val="center"/>
      <w:rPr>
        <w:rFonts w:eastAsiaTheme="minorEastAsia"/>
        <w:noProof/>
        <w:sz w:val="18"/>
        <w:szCs w:val="18"/>
        <w:lang w:eastAsia="sk-SK"/>
      </w:rPr>
    </w:pPr>
    <w:r>
      <w:rPr>
        <w:rFonts w:eastAsiaTheme="minorEastAsia"/>
        <w:noProof/>
        <w:sz w:val="18"/>
        <w:szCs w:val="18"/>
        <w:lang w:eastAsia="sk-SK"/>
      </w:rPr>
      <w:t>PaRELI s.r.o., Vlárska 50/A, 831 01 Bratislava</w:t>
    </w:r>
  </w:p>
  <w:p w14:paraId="5E61BEE0" w14:textId="77777777" w:rsidR="003E585E" w:rsidRDefault="003E585E" w:rsidP="00396D38">
    <w:pPr>
      <w:spacing w:after="0"/>
      <w:jc w:val="center"/>
      <w:rPr>
        <w:rFonts w:eastAsiaTheme="minorEastAsia"/>
        <w:noProof/>
        <w:sz w:val="18"/>
        <w:szCs w:val="18"/>
        <w:lang w:eastAsia="sk-SK"/>
      </w:rPr>
    </w:pPr>
    <w:r>
      <w:rPr>
        <w:rFonts w:eastAsiaTheme="minorEastAsia"/>
        <w:noProof/>
        <w:sz w:val="18"/>
        <w:szCs w:val="18"/>
        <w:lang w:eastAsia="sk-SK"/>
      </w:rPr>
      <w:t>IČO: 47 205 555, IČ DPH: SK2023803188</w:t>
    </w:r>
  </w:p>
  <w:p w14:paraId="66E48930" w14:textId="78909AC2" w:rsidR="003E585E" w:rsidRPr="00396D38" w:rsidRDefault="003E585E" w:rsidP="00396D38">
    <w:pPr>
      <w:spacing w:after="0"/>
      <w:jc w:val="center"/>
      <w:rPr>
        <w:rFonts w:eastAsiaTheme="minorEastAsia"/>
        <w:b/>
        <w:noProof/>
        <w:sz w:val="18"/>
        <w:szCs w:val="18"/>
        <w:lang w:eastAsia="sk-SK"/>
      </w:rPr>
    </w:pPr>
    <w:r>
      <w:rPr>
        <w:rFonts w:eastAsiaTheme="minorEastAsia"/>
        <w:b/>
        <w:noProof/>
        <w:sz w:val="18"/>
        <w:szCs w:val="18"/>
        <w:lang w:eastAsia="sk-SK"/>
      </w:rPr>
      <w:t xml:space="preserve">Office: </w:t>
    </w:r>
    <w:r w:rsidR="00D05227">
      <w:rPr>
        <w:rFonts w:eastAsiaTheme="minorEastAsia"/>
        <w:b/>
        <w:noProof/>
        <w:sz w:val="18"/>
        <w:szCs w:val="18"/>
        <w:lang w:eastAsia="sk-SK"/>
      </w:rPr>
      <w:t>Haydnova 20/C</w:t>
    </w:r>
    <w:r>
      <w:rPr>
        <w:rFonts w:eastAsiaTheme="minorEastAsia"/>
        <w:b/>
        <w:noProof/>
        <w:sz w:val="18"/>
        <w:szCs w:val="18"/>
        <w:lang w:eastAsia="sk-SK"/>
      </w:rPr>
      <w:t>, 8</w:t>
    </w:r>
    <w:r w:rsidR="00D05227">
      <w:rPr>
        <w:rFonts w:eastAsiaTheme="minorEastAsia"/>
        <w:b/>
        <w:noProof/>
        <w:sz w:val="18"/>
        <w:szCs w:val="18"/>
        <w:lang w:eastAsia="sk-SK"/>
      </w:rPr>
      <w:t>1</w:t>
    </w:r>
    <w:r>
      <w:rPr>
        <w:rFonts w:eastAsiaTheme="minorEastAsia"/>
        <w:b/>
        <w:noProof/>
        <w:sz w:val="18"/>
        <w:szCs w:val="18"/>
        <w:lang w:eastAsia="sk-SK"/>
      </w:rPr>
      <w:t>1 0</w:t>
    </w:r>
    <w:r w:rsidR="00D05227">
      <w:rPr>
        <w:rFonts w:eastAsiaTheme="minorEastAsia"/>
        <w:b/>
        <w:noProof/>
        <w:sz w:val="18"/>
        <w:szCs w:val="18"/>
        <w:lang w:eastAsia="sk-SK"/>
      </w:rPr>
      <w:t>2</w:t>
    </w:r>
    <w:r>
      <w:rPr>
        <w:rFonts w:eastAsiaTheme="minorEastAsia"/>
        <w:b/>
        <w:noProof/>
        <w:sz w:val="18"/>
        <w:szCs w:val="18"/>
        <w:lang w:eastAsia="sk-SK"/>
      </w:rPr>
      <w:t xml:space="preserve"> Bratislava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2E899" w14:textId="77777777" w:rsidR="00BC215C" w:rsidRDefault="00BC215C" w:rsidP="00396D38">
      <w:pPr>
        <w:spacing w:after="0" w:line="240" w:lineRule="auto"/>
      </w:pPr>
      <w:r>
        <w:separator/>
      </w:r>
    </w:p>
  </w:footnote>
  <w:footnote w:type="continuationSeparator" w:id="0">
    <w:p w14:paraId="7E64A37F" w14:textId="77777777" w:rsidR="00BC215C" w:rsidRDefault="00BC215C" w:rsidP="00396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DF852" w14:textId="61FC2312" w:rsidR="003E585E" w:rsidRDefault="003E585E" w:rsidP="007A67FD">
    <w:pPr>
      <w:pStyle w:val="Hlavika"/>
      <w:pBdr>
        <w:bottom w:val="single" w:sz="4" w:space="1" w:color="auto"/>
      </w:pBdr>
      <w:tabs>
        <w:tab w:val="clear" w:pos="9072"/>
        <w:tab w:val="left" w:pos="3402"/>
        <w:tab w:val="left" w:pos="5751"/>
        <w:tab w:val="left" w:pos="5825"/>
      </w:tabs>
    </w:pPr>
    <w:r>
      <w:rPr>
        <w:noProof/>
        <w:lang w:eastAsia="sk-SK"/>
      </w:rPr>
      <w:drawing>
        <wp:inline distT="0" distB="0" distL="0" distR="0" wp14:anchorId="673EDCA9" wp14:editId="48D8B4E4">
          <wp:extent cx="1859243" cy="363415"/>
          <wp:effectExtent l="19050" t="0" r="7657" b="0"/>
          <wp:docPr id="2" name="Obrázok 1" descr="PaRELI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RELI 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9251" cy="3634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D155F"/>
    <w:multiLevelType w:val="hybridMultilevel"/>
    <w:tmpl w:val="32CC025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6B6122"/>
    <w:multiLevelType w:val="hybridMultilevel"/>
    <w:tmpl w:val="AFDC04EE"/>
    <w:lvl w:ilvl="0" w:tplc="99F835BA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04" w:hanging="360"/>
      </w:pPr>
    </w:lvl>
    <w:lvl w:ilvl="2" w:tplc="041B001B" w:tentative="1">
      <w:start w:val="1"/>
      <w:numFmt w:val="lowerRoman"/>
      <w:lvlText w:val="%3."/>
      <w:lvlJc w:val="right"/>
      <w:pPr>
        <w:ind w:left="3924" w:hanging="180"/>
      </w:pPr>
    </w:lvl>
    <w:lvl w:ilvl="3" w:tplc="041B000F" w:tentative="1">
      <w:start w:val="1"/>
      <w:numFmt w:val="decimal"/>
      <w:lvlText w:val="%4."/>
      <w:lvlJc w:val="left"/>
      <w:pPr>
        <w:ind w:left="4644" w:hanging="360"/>
      </w:pPr>
    </w:lvl>
    <w:lvl w:ilvl="4" w:tplc="041B0019" w:tentative="1">
      <w:start w:val="1"/>
      <w:numFmt w:val="lowerLetter"/>
      <w:lvlText w:val="%5."/>
      <w:lvlJc w:val="left"/>
      <w:pPr>
        <w:ind w:left="5364" w:hanging="360"/>
      </w:pPr>
    </w:lvl>
    <w:lvl w:ilvl="5" w:tplc="041B001B" w:tentative="1">
      <w:start w:val="1"/>
      <w:numFmt w:val="lowerRoman"/>
      <w:lvlText w:val="%6."/>
      <w:lvlJc w:val="right"/>
      <w:pPr>
        <w:ind w:left="6084" w:hanging="180"/>
      </w:pPr>
    </w:lvl>
    <w:lvl w:ilvl="6" w:tplc="041B000F" w:tentative="1">
      <w:start w:val="1"/>
      <w:numFmt w:val="decimal"/>
      <w:lvlText w:val="%7."/>
      <w:lvlJc w:val="left"/>
      <w:pPr>
        <w:ind w:left="6804" w:hanging="360"/>
      </w:pPr>
    </w:lvl>
    <w:lvl w:ilvl="7" w:tplc="041B0019" w:tentative="1">
      <w:start w:val="1"/>
      <w:numFmt w:val="lowerLetter"/>
      <w:lvlText w:val="%8."/>
      <w:lvlJc w:val="left"/>
      <w:pPr>
        <w:ind w:left="7524" w:hanging="360"/>
      </w:pPr>
    </w:lvl>
    <w:lvl w:ilvl="8" w:tplc="041B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 w15:restartNumberingAfterBreak="0">
    <w:nsid w:val="2B051241"/>
    <w:multiLevelType w:val="hybridMultilevel"/>
    <w:tmpl w:val="129E7C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C945AD"/>
    <w:multiLevelType w:val="hybridMultilevel"/>
    <w:tmpl w:val="A0A45582"/>
    <w:lvl w:ilvl="0" w:tplc="041B0005">
      <w:start w:val="1"/>
      <w:numFmt w:val="bullet"/>
      <w:lvlText w:val=""/>
      <w:lvlJc w:val="left"/>
      <w:pPr>
        <w:ind w:left="-70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7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</w:abstractNum>
  <w:abstractNum w:abstractNumId="4" w15:restartNumberingAfterBreak="0">
    <w:nsid w:val="3E515B1E"/>
    <w:multiLevelType w:val="hybridMultilevel"/>
    <w:tmpl w:val="BBF41DF0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66721D8"/>
    <w:multiLevelType w:val="hybridMultilevel"/>
    <w:tmpl w:val="14AC858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364B5"/>
    <w:multiLevelType w:val="hybridMultilevel"/>
    <w:tmpl w:val="6284F8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680E51"/>
    <w:multiLevelType w:val="hybridMultilevel"/>
    <w:tmpl w:val="D4CC0E2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CF0505F"/>
    <w:multiLevelType w:val="hybridMultilevel"/>
    <w:tmpl w:val="073CFC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C4029"/>
    <w:multiLevelType w:val="hybridMultilevel"/>
    <w:tmpl w:val="45F2CD4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3571774">
    <w:abstractNumId w:val="4"/>
  </w:num>
  <w:num w:numId="2" w16cid:durableId="86941868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4616393">
    <w:abstractNumId w:val="1"/>
  </w:num>
  <w:num w:numId="4" w16cid:durableId="1505706939">
    <w:abstractNumId w:val="8"/>
  </w:num>
  <w:num w:numId="5" w16cid:durableId="158622239">
    <w:abstractNumId w:val="6"/>
  </w:num>
  <w:num w:numId="6" w16cid:durableId="60739422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2966839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6221914">
    <w:abstractNumId w:val="5"/>
  </w:num>
  <w:num w:numId="9" w16cid:durableId="329913389">
    <w:abstractNumId w:val="9"/>
  </w:num>
  <w:num w:numId="10" w16cid:durableId="1413894611">
    <w:abstractNumId w:val="3"/>
  </w:num>
  <w:num w:numId="11" w16cid:durableId="1691103404">
    <w:abstractNumId w:val="0"/>
  </w:num>
  <w:num w:numId="12" w16cid:durableId="9257646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D38"/>
    <w:rsid w:val="000348EE"/>
    <w:rsid w:val="00041D96"/>
    <w:rsid w:val="0007354C"/>
    <w:rsid w:val="0011731F"/>
    <w:rsid w:val="00171B3C"/>
    <w:rsid w:val="001816FB"/>
    <w:rsid w:val="001A6640"/>
    <w:rsid w:val="001B7448"/>
    <w:rsid w:val="001D468F"/>
    <w:rsid w:val="002003C0"/>
    <w:rsid w:val="00213B79"/>
    <w:rsid w:val="002218AF"/>
    <w:rsid w:val="0024780B"/>
    <w:rsid w:val="00270759"/>
    <w:rsid w:val="00271601"/>
    <w:rsid w:val="00283022"/>
    <w:rsid w:val="00284219"/>
    <w:rsid w:val="00305A17"/>
    <w:rsid w:val="00350684"/>
    <w:rsid w:val="00372085"/>
    <w:rsid w:val="00396D38"/>
    <w:rsid w:val="003A367B"/>
    <w:rsid w:val="003E585E"/>
    <w:rsid w:val="003F7496"/>
    <w:rsid w:val="0042122E"/>
    <w:rsid w:val="004B1BA9"/>
    <w:rsid w:val="004F4F79"/>
    <w:rsid w:val="00522926"/>
    <w:rsid w:val="00583F94"/>
    <w:rsid w:val="0065052F"/>
    <w:rsid w:val="0067470D"/>
    <w:rsid w:val="00686C3A"/>
    <w:rsid w:val="006A0341"/>
    <w:rsid w:val="006D7C59"/>
    <w:rsid w:val="007053A4"/>
    <w:rsid w:val="007A67FD"/>
    <w:rsid w:val="008101F5"/>
    <w:rsid w:val="008410CB"/>
    <w:rsid w:val="008D19A4"/>
    <w:rsid w:val="008F2D68"/>
    <w:rsid w:val="00981EF2"/>
    <w:rsid w:val="009A6250"/>
    <w:rsid w:val="009D4DAF"/>
    <w:rsid w:val="009F7D72"/>
    <w:rsid w:val="00A255E4"/>
    <w:rsid w:val="00A837BA"/>
    <w:rsid w:val="00AB774A"/>
    <w:rsid w:val="00AD6BF5"/>
    <w:rsid w:val="00B93470"/>
    <w:rsid w:val="00BC215C"/>
    <w:rsid w:val="00C10424"/>
    <w:rsid w:val="00C251DA"/>
    <w:rsid w:val="00C3243C"/>
    <w:rsid w:val="00C477E9"/>
    <w:rsid w:val="00C80DED"/>
    <w:rsid w:val="00C97253"/>
    <w:rsid w:val="00CA6EAF"/>
    <w:rsid w:val="00CE02C3"/>
    <w:rsid w:val="00D05227"/>
    <w:rsid w:val="00D379FB"/>
    <w:rsid w:val="00D62C49"/>
    <w:rsid w:val="00DA22A8"/>
    <w:rsid w:val="00DD0777"/>
    <w:rsid w:val="00E40865"/>
    <w:rsid w:val="00EB0488"/>
    <w:rsid w:val="00F64D80"/>
    <w:rsid w:val="00F6515E"/>
    <w:rsid w:val="00F84419"/>
    <w:rsid w:val="00FB3235"/>
    <w:rsid w:val="00FF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AA2D9C6"/>
  <w15:docId w15:val="{6EDD0166-BA8E-49F8-9D6F-14422F93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1601"/>
  </w:style>
  <w:style w:type="paragraph" w:styleId="Nadpis3">
    <w:name w:val="heading 3"/>
    <w:basedOn w:val="Normlny"/>
    <w:next w:val="Normlny"/>
    <w:link w:val="Nadpis3Char"/>
    <w:autoRedefine/>
    <w:uiPriority w:val="9"/>
    <w:unhideWhenUsed/>
    <w:qFormat/>
    <w:rsid w:val="00CA6EAF"/>
    <w:pPr>
      <w:keepNext/>
      <w:keepLines/>
      <w:spacing w:before="200" w:after="0" w:line="360" w:lineRule="auto"/>
      <w:ind w:left="1134"/>
      <w:jc w:val="both"/>
      <w:outlineLvl w:val="2"/>
    </w:pPr>
    <w:rPr>
      <w:rFonts w:ascii="Arial" w:eastAsia="Times New Roman" w:hAnsi="Arial" w:cs="Arial"/>
      <w:b/>
      <w:b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96D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96D38"/>
  </w:style>
  <w:style w:type="paragraph" w:styleId="Pta">
    <w:name w:val="footer"/>
    <w:basedOn w:val="Normlny"/>
    <w:link w:val="PtaChar"/>
    <w:uiPriority w:val="99"/>
    <w:unhideWhenUsed/>
    <w:rsid w:val="00396D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96D38"/>
  </w:style>
  <w:style w:type="paragraph" w:styleId="Textbubliny">
    <w:name w:val="Balloon Text"/>
    <w:basedOn w:val="Normlny"/>
    <w:link w:val="TextbublinyChar"/>
    <w:uiPriority w:val="99"/>
    <w:semiHidden/>
    <w:unhideWhenUsed/>
    <w:rsid w:val="00396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6D38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396D38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uiPriority w:val="9"/>
    <w:rsid w:val="00CA6EAF"/>
    <w:rPr>
      <w:rFonts w:ascii="Arial" w:eastAsia="Times New Roman" w:hAnsi="Arial" w:cs="Arial"/>
      <w:b/>
      <w:bCs/>
      <w:sz w:val="20"/>
      <w:szCs w:val="20"/>
    </w:rPr>
  </w:style>
  <w:style w:type="character" w:customStyle="1" w:styleId="formtext">
    <w:name w:val="formtext"/>
    <w:basedOn w:val="Predvolenpsmoodseku"/>
    <w:rsid w:val="00CA6EAF"/>
  </w:style>
  <w:style w:type="table" w:styleId="Mriekatabuky">
    <w:name w:val="Table Grid"/>
    <w:basedOn w:val="Normlnatabuka"/>
    <w:uiPriority w:val="59"/>
    <w:unhideWhenUsed/>
    <w:rsid w:val="00CA6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053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jasur</dc:creator>
  <cp:lastModifiedBy>Matej Jašurek</cp:lastModifiedBy>
  <cp:revision>28</cp:revision>
  <cp:lastPrinted>2023-03-21T13:08:00Z</cp:lastPrinted>
  <dcterms:created xsi:type="dcterms:W3CDTF">2022-07-15T07:18:00Z</dcterms:created>
  <dcterms:modified xsi:type="dcterms:W3CDTF">2023-06-12T09:27:00Z</dcterms:modified>
</cp:coreProperties>
</file>